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0"/>
          <w:tab w:val="left" w:pos="1008"/>
          <w:tab w:val="left" w:pos="2880"/>
          <w:tab w:val="left" w:pos="7200"/>
        </w:tabs>
        <w:suppressAutoHyphens/>
        <w:ind w:left="1008" w:hanging="1008"/>
        <w:jc w:val="center"/>
        <w:rPr>
          <w:b/>
          <w:spacing w:val="-3"/>
          <w:u w:val="single"/>
        </w:rPr>
      </w:pPr>
      <w:bookmarkStart w:id="0" w:name="_GoBack"/>
      <w:bookmarkEnd w:id="0"/>
      <w:r>
        <w:rPr>
          <w:b/>
          <w:spacing w:val="-3"/>
          <w:u w:val="single"/>
        </w:rPr>
        <w:t>S P E C I A L  C O N D I T I O N S  F O R   C O N T R A C T S   F O R   S A L E</w:t>
      </w:r>
    </w:p>
    <w:p>
      <w:pPr>
        <w:tabs>
          <w:tab w:val="left" w:pos="0"/>
          <w:tab w:val="left" w:pos="1008"/>
          <w:tab w:val="left" w:pos="2880"/>
          <w:tab w:val="left" w:pos="7200"/>
        </w:tabs>
        <w:suppressAutoHyphens/>
        <w:ind w:left="1008" w:hanging="1008"/>
        <w:jc w:val="both"/>
        <w:rPr>
          <w:spacing w:val="-3"/>
        </w:rPr>
      </w:pPr>
    </w:p>
    <w:p>
      <w:pPr>
        <w:pStyle w:val="Heading1"/>
        <w:jc w:val="center"/>
      </w:pPr>
    </w:p>
    <w:p>
      <w:pPr>
        <w:pStyle w:val="Heading1"/>
        <w:jc w:val="center"/>
      </w:pPr>
      <w:r>
        <w:t>TITLE</w:t>
      </w:r>
    </w:p>
    <w:p/>
    <w:p>
      <w:pPr>
        <w:tabs>
          <w:tab w:val="left" w:pos="0"/>
          <w:tab w:val="left" w:pos="1008"/>
          <w:tab w:val="left" w:pos="2880"/>
          <w:tab w:val="left" w:pos="7200"/>
        </w:tabs>
        <w:suppressAutoHyphens/>
        <w:ind w:left="1008" w:hanging="1008"/>
        <w:jc w:val="both"/>
        <w:rPr>
          <w:spacing w:val="-3"/>
          <w:u w:val="single"/>
        </w:rPr>
      </w:pPr>
      <w:r>
        <w:rPr>
          <w:spacing w:val="-3"/>
          <w:u w:val="single"/>
        </w:rPr>
        <w:t>Regular Folio – Freehold</w:t>
      </w:r>
    </w:p>
    <w:p>
      <w:pPr>
        <w:rPr>
          <w:spacing w:val="-3"/>
        </w:rPr>
      </w:pPr>
      <w:r>
        <w:rPr>
          <w:spacing w:val="-3"/>
        </w:rPr>
        <w:t>The title shall commence with and consist of copy of Land Registry Folio and File plan in respect of Folio [UDF:u.folio.no] of the Register of Freeholders/Leaseholders County of Dublin.</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hanging="1008"/>
        <w:jc w:val="both"/>
        <w:rPr>
          <w:spacing w:val="-3"/>
          <w:u w:val="single"/>
        </w:rPr>
      </w:pPr>
      <w:r>
        <w:rPr>
          <w:spacing w:val="-3"/>
          <w:u w:val="single"/>
        </w:rPr>
        <w:t>Title – where part only of a folio is being sold</w:t>
      </w:r>
    </w:p>
    <w:p>
      <w:pPr>
        <w:tabs>
          <w:tab w:val="left" w:pos="0"/>
          <w:tab w:val="left" w:pos="1008"/>
          <w:tab w:val="left" w:pos="2880"/>
          <w:tab w:val="left" w:pos="7200"/>
        </w:tabs>
        <w:suppressAutoHyphens/>
        <w:jc w:val="both"/>
        <w:rPr>
          <w:spacing w:val="-3"/>
        </w:rPr>
      </w:pPr>
      <w:r>
        <w:rPr>
          <w:spacing w:val="-3"/>
        </w:rPr>
        <w:t>The title shall commence with and consist of the registration of the Vendors as full owners of the property described in Folio [UDF:u.folio.no] of the Register County [UDF:PropertyCounty], portion of which is in sale by virtue of this Contract.  No further or other title documentation shall be called for or furnished.</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hanging="1008"/>
        <w:jc w:val="both"/>
        <w:rPr>
          <w:spacing w:val="-3"/>
          <w:u w:val="single"/>
        </w:rPr>
      </w:pPr>
      <w:r>
        <w:rPr>
          <w:spacing w:val="-3"/>
          <w:u w:val="single"/>
        </w:rPr>
        <w:t>Unregistered – Freehold</w:t>
      </w:r>
    </w:p>
    <w:p>
      <w:pPr>
        <w:rPr>
          <w:spacing w:val="-3"/>
        </w:rPr>
      </w:pPr>
      <w:r>
        <w:rPr>
          <w:spacing w:val="-3"/>
        </w:rPr>
        <w:t xml:space="preserve">The title shall commence with and consist of Indenture of Conveyance dated the </w:t>
      </w:r>
      <w:r>
        <w:rPr>
          <w:spacing w:val="-3"/>
        </w:rPr>
        <w:tab/>
        <w:t>day of and shall be deduced therefrom in accordance with the documentation furnished with this Contract.  On a strictly without prejudice basis the prior title contained in the booklet of title is furnished.</w:t>
      </w:r>
    </w:p>
    <w:p>
      <w:pPr>
        <w:pStyle w:val="Heading4"/>
      </w:pPr>
    </w:p>
    <w:p>
      <w:pPr>
        <w:rPr>
          <w:spacing w:val="-3"/>
          <w:u w:val="single"/>
        </w:rPr>
      </w:pPr>
      <w:r>
        <w:rPr>
          <w:spacing w:val="-3"/>
          <w:u w:val="single"/>
        </w:rPr>
        <w:t>Selling as Person Entitled to be Registered – Where registration of deed in favour of Vendor is not yet registered in the Land Registry</w:t>
      </w:r>
    </w:p>
    <w:p>
      <w:pPr>
        <w:rPr>
          <w:szCs w:val="24"/>
          <w:u w:val="single"/>
        </w:rPr>
      </w:pPr>
    </w:p>
    <w:p>
      <w:pPr>
        <w:rPr>
          <w:spacing w:val="-3"/>
        </w:rPr>
      </w:pPr>
      <w:r>
        <w:rPr>
          <w:spacing w:val="-3"/>
        </w:rPr>
        <w:t>The Vendor sells as person entitled to be registered as owner of the property.  The Purchaser shall accept a Deed of Transfer from the Vendor as person entitled to be registered.  The purchaser shall not require registration of the Vendor to be completed prior to closing but shall accept a Deed of Transfer from the Vendor as person entitled and shall not require the Vendors registration to be completed prior to closing.</w:t>
      </w:r>
    </w:p>
    <w:p>
      <w:pPr>
        <w:rPr>
          <w:spacing w:val="-3"/>
        </w:rPr>
      </w:pPr>
    </w:p>
    <w:p>
      <w:pPr>
        <w:rPr>
          <w:szCs w:val="24"/>
          <w:u w:val="single"/>
        </w:rPr>
      </w:pPr>
      <w:r>
        <w:rPr>
          <w:szCs w:val="24"/>
          <w:u w:val="single"/>
        </w:rPr>
        <w:t>Family Home Declaration – where property Registry of Deeds title and you are missing a Family Home Declaration for one of the Convenyance/Assignments – Act came into force in April 1976</w:t>
      </w:r>
    </w:p>
    <w:p>
      <w:pPr>
        <w:rPr>
          <w:szCs w:val="24"/>
          <w:u w:val="single"/>
        </w:rPr>
      </w:pPr>
    </w:p>
    <w:p>
      <w:pPr>
        <w:rPr>
          <w:spacing w:val="-3"/>
        </w:rPr>
      </w:pPr>
      <w:r>
        <w:rPr>
          <w:spacing w:val="-3"/>
        </w:rPr>
        <w:t xml:space="preserve">The Purchaser shall accept a Declaration from the Vendors in pursuance of Section 54 of the Family Law Act, 1995 pertaining to the Deed of Assignment/Conveyance  </w:t>
      </w:r>
      <w:r>
        <w:rPr>
          <w:spacing w:val="-3"/>
        </w:rPr>
        <w:fldChar w:fldCharType="begin">
          <w:ffData>
            <w:name w:val="Text10"/>
            <w:enabled/>
            <w:calcOnExit w:val="0"/>
            <w:textInput/>
          </w:ffData>
        </w:fldChar>
      </w:r>
      <w:bookmarkStart w:id="1" w:name="Text10"/>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
      <w:r>
        <w:rPr>
          <w:spacing w:val="-3"/>
        </w:rPr>
        <w:t xml:space="preserve"> of the one part and  </w:t>
      </w:r>
      <w:r>
        <w:rPr>
          <w:spacing w:val="-3"/>
        </w:rPr>
        <w:fldChar w:fldCharType="begin">
          <w:ffData>
            <w:name w:val="Text11"/>
            <w:enabled/>
            <w:calcOnExit w:val="0"/>
            <w:textInput/>
          </w:ffData>
        </w:fldChar>
      </w:r>
      <w:bookmarkStart w:id="2" w:name="Text1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
      <w:r>
        <w:rPr>
          <w:spacing w:val="-3"/>
        </w:rPr>
        <w:t xml:space="preserve"> of the Other Part.  No requisitions or enquiries shall be raised in respect of same.</w:t>
      </w:r>
    </w:p>
    <w:p>
      <w:pPr>
        <w:tabs>
          <w:tab w:val="left" w:pos="0"/>
          <w:tab w:val="left" w:pos="1008"/>
          <w:tab w:val="left" w:pos="2880"/>
          <w:tab w:val="left" w:pos="7200"/>
        </w:tabs>
        <w:suppressAutoHyphens/>
        <w:ind w:left="1008" w:hanging="1008"/>
        <w:jc w:val="center"/>
        <w:rPr>
          <w:spacing w:val="-3"/>
        </w:rPr>
      </w:pPr>
    </w:p>
    <w:p>
      <w:pPr>
        <w:tabs>
          <w:tab w:val="left" w:pos="0"/>
          <w:tab w:val="left" w:pos="1008"/>
          <w:tab w:val="left" w:pos="2880"/>
          <w:tab w:val="left" w:pos="7200"/>
        </w:tabs>
        <w:suppressAutoHyphens/>
        <w:ind w:left="1008" w:hanging="1008"/>
        <w:jc w:val="center"/>
        <w:rPr>
          <w:spacing w:val="-3"/>
        </w:rPr>
      </w:pPr>
    </w:p>
    <w:p>
      <w:pPr>
        <w:pStyle w:val="Heading5"/>
        <w:jc w:val="center"/>
      </w:pPr>
      <w:r>
        <w:t>ACTING AS POWER OF ATTORNEY</w:t>
      </w:r>
    </w:p>
    <w:p>
      <w:pPr>
        <w:tabs>
          <w:tab w:val="left" w:pos="0"/>
          <w:tab w:val="left" w:pos="1008"/>
          <w:tab w:val="left" w:pos="2880"/>
          <w:tab w:val="left" w:pos="7200"/>
        </w:tabs>
        <w:suppressAutoHyphens/>
        <w:ind w:left="1008" w:hanging="1008"/>
        <w:jc w:val="both"/>
        <w:rPr>
          <w:spacing w:val="-3"/>
        </w:rPr>
      </w:pPr>
    </w:p>
    <w:p>
      <w:pPr>
        <w:tabs>
          <w:tab w:val="left" w:pos="0"/>
          <w:tab w:val="left" w:pos="1008"/>
          <w:tab w:val="left" w:pos="2880"/>
          <w:tab w:val="left" w:pos="7200"/>
        </w:tabs>
        <w:suppressAutoHyphens/>
        <w:ind w:left="1008" w:hanging="1008"/>
        <w:jc w:val="both"/>
        <w:rPr>
          <w:spacing w:val="-3"/>
        </w:rPr>
      </w:pPr>
      <w:r>
        <w:rPr>
          <w:spacing w:val="-3"/>
        </w:rPr>
        <w:t>Title shall commence with …..</w:t>
      </w:r>
    </w:p>
    <w:p>
      <w:pPr>
        <w:rPr>
          <w:spacing w:val="-3"/>
        </w:rPr>
      </w:pPr>
    </w:p>
    <w:p>
      <w:pPr>
        <w:rPr>
          <w:spacing w:val="-3"/>
        </w:rPr>
      </w:pPr>
      <w:r>
        <w:rPr>
          <w:spacing w:val="-3"/>
        </w:rPr>
        <w:t xml:space="preserve">The Vendor, [CNT:Name], acts by his Attorney [CAN:Name.Attorney#@&amp;]  On </w:t>
      </w:r>
      <w:r>
        <w:rPr>
          <w:spacing w:val="-3"/>
        </w:rPr>
        <w:lastRenderedPageBreak/>
        <w:t xml:space="preserve">completion the Purchaser shall be furnished with the original Power of Attorney of  [CNT:Name] created on the  </w:t>
      </w:r>
      <w:r>
        <w:rPr>
          <w:spacing w:val="-3"/>
        </w:rPr>
        <w:fldChar w:fldCharType="begin">
          <w:ffData>
            <w:name w:val="Text17"/>
            <w:enabled/>
            <w:calcOnExit w:val="0"/>
            <w:textInput/>
          </w:ffData>
        </w:fldChar>
      </w:r>
      <w:bookmarkStart w:id="3" w:name="Text17"/>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
      <w:r>
        <w:rPr>
          <w:spacing w:val="-3"/>
        </w:rPr>
        <w:t xml:space="preserve"> together with Affidavit of Attesting Witness thereto duly completed.</w:t>
      </w:r>
    </w:p>
    <w:p>
      <w:pPr>
        <w:tabs>
          <w:tab w:val="left" w:pos="0"/>
          <w:tab w:val="left" w:pos="1008"/>
          <w:tab w:val="left" w:pos="2880"/>
          <w:tab w:val="left" w:pos="7200"/>
        </w:tabs>
        <w:suppressAutoHyphens/>
        <w:snapToGrid w:val="0"/>
        <w:jc w:val="both"/>
        <w:rPr>
          <w:spacing w:val="-3"/>
        </w:rPr>
      </w:pPr>
    </w:p>
    <w:p>
      <w:pPr>
        <w:tabs>
          <w:tab w:val="left" w:pos="0"/>
          <w:tab w:val="left" w:pos="1008"/>
          <w:tab w:val="left" w:pos="2880"/>
          <w:tab w:val="left" w:pos="7200"/>
        </w:tabs>
        <w:suppressAutoHyphens/>
        <w:snapToGrid w:val="0"/>
        <w:jc w:val="both"/>
        <w:rPr>
          <w:spacing w:val="-3"/>
        </w:rPr>
      </w:pPr>
    </w:p>
    <w:p>
      <w:pPr>
        <w:tabs>
          <w:tab w:val="left" w:pos="0"/>
          <w:tab w:val="left" w:pos="1008"/>
          <w:tab w:val="left" w:pos="2880"/>
          <w:tab w:val="left" w:pos="7200"/>
        </w:tabs>
        <w:suppressAutoHyphens/>
        <w:snapToGrid w:val="0"/>
        <w:jc w:val="center"/>
        <w:rPr>
          <w:b/>
          <w:spacing w:val="-3"/>
          <w:szCs w:val="24"/>
          <w:u w:val="single"/>
        </w:rPr>
      </w:pPr>
      <w:r>
        <w:rPr>
          <w:b/>
          <w:spacing w:val="-3"/>
          <w:szCs w:val="24"/>
          <w:u w:val="single"/>
        </w:rPr>
        <w:t>MORTGAGES</w:t>
      </w:r>
    </w:p>
    <w:p>
      <w:pPr>
        <w:tabs>
          <w:tab w:val="left" w:pos="0"/>
          <w:tab w:val="left" w:pos="1008"/>
          <w:tab w:val="left" w:pos="2880"/>
          <w:tab w:val="left" w:pos="7200"/>
        </w:tabs>
        <w:suppressAutoHyphens/>
        <w:snapToGrid w:val="0"/>
        <w:jc w:val="both"/>
        <w:rPr>
          <w:spacing w:val="-3"/>
        </w:rPr>
      </w:pPr>
    </w:p>
    <w:p>
      <w:pPr>
        <w:rPr>
          <w:b/>
          <w:szCs w:val="24"/>
          <w:u w:val="single"/>
        </w:rPr>
      </w:pPr>
      <w:r>
        <w:rPr>
          <w:b/>
          <w:szCs w:val="24"/>
          <w:u w:val="single"/>
        </w:rPr>
        <w:t>Negative Equity Mortgage</w:t>
      </w:r>
    </w:p>
    <w:p>
      <w:pPr>
        <w:rPr>
          <w:szCs w:val="24"/>
          <w:u w:val="single"/>
        </w:rPr>
      </w:pPr>
    </w:p>
    <w:p>
      <w:pPr>
        <w:tabs>
          <w:tab w:val="left" w:pos="0"/>
          <w:tab w:val="left" w:pos="1008"/>
          <w:tab w:val="left" w:pos="2880"/>
          <w:tab w:val="left" w:pos="7200"/>
        </w:tabs>
        <w:suppressAutoHyphens/>
        <w:jc w:val="both"/>
        <w:rPr>
          <w:spacing w:val="-3"/>
        </w:rPr>
      </w:pPr>
      <w:r>
        <w:rPr>
          <w:spacing w:val="-3"/>
        </w:rPr>
        <w:t xml:space="preserve">The property is subject to a charge in favour of  [CAN:Name.LendInst#@&amp;] being the charge registered at entry number </w:t>
      </w:r>
      <w:r>
        <w:rPr>
          <w:spacing w:val="-3"/>
        </w:rPr>
        <w:fldChar w:fldCharType="begin">
          <w:ffData>
            <w:name w:val="Text19"/>
            <w:enabled/>
            <w:calcOnExit w:val="0"/>
            <w:textInput/>
          </w:ffData>
        </w:fldChar>
      </w:r>
      <w:bookmarkStart w:id="4" w:name="Text19"/>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4"/>
      <w:r>
        <w:rPr>
          <w:spacing w:val="-3"/>
        </w:rPr>
        <w:t xml:space="preserve"> on part 3 of Folio [UDF:u.folio.no] County [UDF:PropertyCounty]. The purchaser is furnished with copy letter from[CAN:Name.LendInst#??] dated the </w:t>
      </w:r>
      <w:r>
        <w:rPr>
          <w:spacing w:val="-3"/>
        </w:rPr>
        <w:fldChar w:fldCharType="begin">
          <w:ffData>
            <w:name w:val="Text21"/>
            <w:enabled/>
            <w:calcOnExit w:val="0"/>
            <w:textInput/>
          </w:ffData>
        </w:fldChar>
      </w:r>
      <w:bookmarkStart w:id="5" w:name="Text2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5"/>
      <w:r>
        <w:rPr>
          <w:spacing w:val="-3"/>
        </w:rPr>
        <w:t xml:space="preserve"> showing that the balance due on foot of this charge is in the region of €</w:t>
      </w:r>
      <w:r>
        <w:rPr>
          <w:spacing w:val="-3"/>
        </w:rPr>
        <w:fldChar w:fldCharType="begin">
          <w:ffData>
            <w:name w:val="Text22"/>
            <w:enabled/>
            <w:calcOnExit w:val="0"/>
            <w:textInput/>
          </w:ffData>
        </w:fldChar>
      </w:r>
      <w:bookmarkStart w:id="6" w:name="Text2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r>
        <w:rPr>
          <w:spacing w:val="-3"/>
        </w:rPr>
        <w:t>.</w:t>
      </w:r>
    </w:p>
    <w:p>
      <w:pPr>
        <w:tabs>
          <w:tab w:val="left" w:pos="0"/>
          <w:tab w:val="left" w:pos="1008"/>
          <w:tab w:val="left" w:pos="2880"/>
          <w:tab w:val="left" w:pos="7200"/>
        </w:tabs>
        <w:suppressAutoHyphens/>
        <w:ind w:left="1005" w:hanging="1005"/>
        <w:jc w:val="both"/>
        <w:rPr>
          <w:spacing w:val="-3"/>
        </w:rPr>
      </w:pPr>
    </w:p>
    <w:p>
      <w:pPr>
        <w:tabs>
          <w:tab w:val="left" w:pos="0"/>
          <w:tab w:val="left" w:pos="1008"/>
          <w:tab w:val="left" w:pos="2880"/>
          <w:tab w:val="left" w:pos="7200"/>
        </w:tabs>
        <w:suppressAutoHyphens/>
        <w:jc w:val="both"/>
        <w:rPr>
          <w:spacing w:val="-3"/>
        </w:rPr>
      </w:pPr>
      <w:r>
        <w:rPr>
          <w:spacing w:val="-3"/>
        </w:rPr>
        <w:t>In circumstances where the sale price of the property is less than the amount due on the charge, prior to completion, the Vendors shall arrange to put their solicitors in funds to the extent required to discharge the loan.</w:t>
      </w:r>
    </w:p>
    <w:p>
      <w:pPr>
        <w:tabs>
          <w:tab w:val="left" w:pos="0"/>
          <w:tab w:val="left" w:pos="1008"/>
          <w:tab w:val="left" w:pos="2880"/>
          <w:tab w:val="left" w:pos="7200"/>
        </w:tabs>
        <w:suppressAutoHyphens/>
        <w:ind w:left="1005" w:hanging="1005"/>
        <w:jc w:val="both"/>
        <w:rPr>
          <w:spacing w:val="-3"/>
        </w:rPr>
      </w:pPr>
    </w:p>
    <w:p>
      <w:pPr>
        <w:rPr>
          <w:spacing w:val="-3"/>
        </w:rPr>
      </w:pPr>
      <w:r>
        <w:rPr>
          <w:spacing w:val="-3"/>
        </w:rPr>
        <w:t>On completion, the Vendors’ solicitor shall furnish a Solicitors Undertaking to discharge the loan in full from the proceeds of sale and from the monies received from the Vendor and to furnish Deed of Discharge or E-discharge as soon as possible.</w:t>
      </w:r>
    </w:p>
    <w:p>
      <w:pPr>
        <w:tabs>
          <w:tab w:val="left" w:pos="0"/>
          <w:tab w:val="left" w:pos="1008"/>
          <w:tab w:val="left" w:pos="2880"/>
          <w:tab w:val="left" w:pos="7200"/>
        </w:tabs>
        <w:suppressAutoHyphens/>
        <w:snapToGrid w:val="0"/>
        <w:jc w:val="both"/>
        <w:rPr>
          <w:spacing w:val="-3"/>
        </w:rPr>
      </w:pPr>
    </w:p>
    <w:p>
      <w:pPr>
        <w:tabs>
          <w:tab w:val="left" w:pos="0"/>
          <w:tab w:val="left" w:pos="1008"/>
          <w:tab w:val="left" w:pos="2880"/>
          <w:tab w:val="left" w:pos="7200"/>
        </w:tabs>
        <w:suppressAutoHyphens/>
        <w:jc w:val="both"/>
        <w:rPr>
          <w:spacing w:val="-3"/>
        </w:rPr>
      </w:pPr>
    </w:p>
    <w:p>
      <w:pPr>
        <w:tabs>
          <w:tab w:val="left" w:pos="0"/>
          <w:tab w:val="left" w:pos="1008"/>
          <w:tab w:val="left" w:pos="2880"/>
          <w:tab w:val="left" w:pos="7200"/>
        </w:tabs>
        <w:suppressAutoHyphens/>
        <w:ind w:left="1008" w:hanging="1008"/>
        <w:jc w:val="both"/>
        <w:rPr>
          <w:b/>
          <w:spacing w:val="-3"/>
          <w:u w:val="single"/>
        </w:rPr>
      </w:pPr>
      <w:r>
        <w:rPr>
          <w:b/>
          <w:spacing w:val="-3"/>
          <w:u w:val="single"/>
        </w:rPr>
        <w:t>Mortgage paid but still appears on folio where you have a vacate with deeds:</w:t>
      </w:r>
    </w:p>
    <w:p>
      <w:pPr>
        <w:tabs>
          <w:tab w:val="left" w:pos="0"/>
          <w:tab w:val="left" w:pos="1008"/>
          <w:tab w:val="left" w:pos="2880"/>
          <w:tab w:val="left" w:pos="7200"/>
        </w:tabs>
        <w:suppressAutoHyphens/>
        <w:ind w:left="1008" w:hanging="1008"/>
        <w:jc w:val="both"/>
        <w:rPr>
          <w:spacing w:val="-3"/>
        </w:rPr>
      </w:pPr>
    </w:p>
    <w:p>
      <w:pPr>
        <w:rPr>
          <w:spacing w:val="-3"/>
        </w:rPr>
      </w:pPr>
      <w:r>
        <w:rPr>
          <w:spacing w:val="-3"/>
        </w:rPr>
        <w:t xml:space="preserve">The property in sale is subject to a mortgage in favour of  [CAN:Name.LendInst#@&amp;] which appears as a burden at entry number  </w:t>
      </w:r>
      <w:r>
        <w:rPr>
          <w:spacing w:val="-3"/>
        </w:rPr>
        <w:fldChar w:fldCharType="begin">
          <w:ffData>
            <w:name w:val="Text24"/>
            <w:enabled/>
            <w:calcOnExit w:val="0"/>
            <w:textInput/>
          </w:ffData>
        </w:fldChar>
      </w:r>
      <w:bookmarkStart w:id="7" w:name="Text24"/>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spacing w:val="-3"/>
        </w:rPr>
        <w:t xml:space="preserve"> on part 3 of Folio [UDF:u.folio.no] County [UDF:PropertyCounty]. This Mortgage has been redeemed in full.  On closing the Purchaser’s Solicitors will be furnished with the vacated  </w:t>
      </w:r>
      <w:r>
        <w:rPr>
          <w:spacing w:val="-3"/>
        </w:rPr>
        <w:fldChar w:fldCharType="begin">
          <w:ffData>
            <w:name w:val="Text25"/>
            <w:enabled/>
            <w:calcOnExit w:val="0"/>
            <w:textInput/>
          </w:ffData>
        </w:fldChar>
      </w:r>
      <w:bookmarkStart w:id="8" w:name="Text25"/>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8"/>
      <w:r>
        <w:rPr>
          <w:spacing w:val="-3"/>
        </w:rPr>
        <w:t xml:space="preserve"> together with a cheque for the Land Registry fees arising.</w:t>
      </w:r>
    </w:p>
    <w:p>
      <w:pPr>
        <w:tabs>
          <w:tab w:val="left" w:pos="0"/>
          <w:tab w:val="left" w:pos="1008"/>
          <w:tab w:val="left" w:pos="2880"/>
          <w:tab w:val="left" w:pos="7200"/>
        </w:tabs>
        <w:suppressAutoHyphens/>
        <w:ind w:left="1008" w:hanging="1008"/>
        <w:jc w:val="both"/>
        <w:rPr>
          <w:b/>
          <w:spacing w:val="-3"/>
        </w:rPr>
      </w:pPr>
    </w:p>
    <w:p/>
    <w:p>
      <w:pPr>
        <w:jc w:val="center"/>
        <w:rPr>
          <w:b/>
          <w:szCs w:val="24"/>
        </w:rPr>
      </w:pPr>
    </w:p>
    <w:p>
      <w:pPr>
        <w:jc w:val="center"/>
        <w:rPr>
          <w:b/>
          <w:szCs w:val="24"/>
          <w:u w:val="single"/>
        </w:rPr>
      </w:pPr>
      <w:r>
        <w:rPr>
          <w:b/>
          <w:szCs w:val="24"/>
          <w:u w:val="single"/>
        </w:rPr>
        <w:t>CONTRACT PRICE INCLUDES CONTENTS</w:t>
      </w:r>
    </w:p>
    <w:p>
      <w:pPr>
        <w:jc w:val="center"/>
        <w:rPr>
          <w:b/>
          <w:szCs w:val="24"/>
        </w:rPr>
      </w:pPr>
    </w:p>
    <w:p>
      <w:pPr>
        <w:rPr>
          <w:szCs w:val="24"/>
        </w:rPr>
      </w:pPr>
      <w:r>
        <w:rPr>
          <w:szCs w:val="24"/>
        </w:rPr>
        <w:t>The purchase price includes the following list of contents:</w:t>
      </w:r>
    </w:p>
    <w:p>
      <w:pPr>
        <w:rPr>
          <w:b/>
          <w:szCs w:val="24"/>
        </w:rPr>
      </w:pPr>
    </w:p>
    <w:p>
      <w:pPr>
        <w:tabs>
          <w:tab w:val="left" w:pos="0"/>
          <w:tab w:val="left" w:pos="1008"/>
          <w:tab w:val="left" w:pos="2880"/>
          <w:tab w:val="left" w:pos="7200"/>
        </w:tabs>
        <w:suppressAutoHyphens/>
        <w:snapToGrid w:val="0"/>
        <w:jc w:val="both"/>
        <w:rPr>
          <w:spacing w:val="-3"/>
        </w:rPr>
      </w:pPr>
    </w:p>
    <w:p>
      <w:pPr>
        <w:jc w:val="center"/>
        <w:rPr>
          <w:b/>
          <w:szCs w:val="24"/>
          <w:u w:val="single"/>
        </w:rPr>
      </w:pPr>
      <w:r>
        <w:rPr>
          <w:b/>
          <w:szCs w:val="24"/>
          <w:u w:val="single"/>
        </w:rPr>
        <w:t>ALL CONTRACTS</w:t>
      </w:r>
    </w:p>
    <w:p>
      <w:pPr>
        <w:rPr>
          <w:b/>
          <w:szCs w:val="24"/>
        </w:rPr>
      </w:pPr>
    </w:p>
    <w:p>
      <w:pPr>
        <w:tabs>
          <w:tab w:val="left" w:pos="0"/>
          <w:tab w:val="left" w:pos="1008"/>
          <w:tab w:val="left" w:pos="2880"/>
          <w:tab w:val="left" w:pos="7200"/>
        </w:tabs>
        <w:suppressAutoHyphens/>
        <w:jc w:val="both"/>
        <w:rPr>
          <w:b/>
          <w:spacing w:val="-3"/>
        </w:rPr>
      </w:pPr>
      <w:r>
        <w:rPr>
          <w:b/>
          <w:spacing w:val="-3"/>
        </w:rPr>
        <w:t>INSPECTING THE PROPERTY – ALL CONTRACTS</w:t>
      </w:r>
    </w:p>
    <w:p>
      <w:pPr>
        <w:tabs>
          <w:tab w:val="left" w:pos="0"/>
          <w:tab w:val="left" w:pos="1008"/>
          <w:tab w:val="left" w:pos="2880"/>
          <w:tab w:val="left" w:pos="7200"/>
        </w:tabs>
        <w:suppressAutoHyphens/>
        <w:jc w:val="both"/>
        <w:rPr>
          <w:b/>
          <w:spacing w:val="-3"/>
        </w:rPr>
      </w:pPr>
    </w:p>
    <w:p>
      <w:pPr>
        <w:rPr>
          <w:spacing w:val="-3"/>
        </w:rPr>
      </w:pPr>
      <w:r>
        <w:rPr>
          <w:spacing w:val="-3"/>
        </w:rPr>
        <w:t xml:space="preserve">The purchaser is deemed to have inspected the property prior to entering into this Contract and have satisfied herself as to its location, extents, dimensions, access to roads and services, state of repair and condition and shall take the property as it stands in all respects.  </w:t>
      </w:r>
      <w:r>
        <w:rPr>
          <w:spacing w:val="-3"/>
        </w:rPr>
        <w:lastRenderedPageBreak/>
        <w:t>In particular the purchaser has satisfied herself as to the identity of the property and shall not call for the production of any Architect’s Certificate of Identity or Declaration of Identity. General Condition 36 of the Contract shall stand amended in this regard.</w:t>
      </w:r>
    </w:p>
    <w:p>
      <w:pPr>
        <w:rPr>
          <w:b/>
          <w:szCs w:val="24"/>
        </w:rPr>
      </w:pPr>
    </w:p>
    <w:p>
      <w:pPr>
        <w:rPr>
          <w:b/>
          <w:szCs w:val="24"/>
        </w:rPr>
      </w:pPr>
    </w:p>
    <w:p>
      <w:pPr>
        <w:tabs>
          <w:tab w:val="left" w:pos="0"/>
          <w:tab w:val="left" w:pos="1008"/>
          <w:tab w:val="left" w:pos="2880"/>
          <w:tab w:val="left" w:pos="7200"/>
        </w:tabs>
        <w:suppressAutoHyphens/>
        <w:ind w:left="1008" w:hanging="1008"/>
        <w:jc w:val="both"/>
        <w:rPr>
          <w:b/>
          <w:spacing w:val="-3"/>
          <w:u w:val="single"/>
        </w:rPr>
      </w:pPr>
      <w:r>
        <w:rPr>
          <w:b/>
          <w:spacing w:val="-3"/>
          <w:u w:val="single"/>
        </w:rPr>
        <w:t>Not construed as a Contract for the purposes of the Statute of Frauds</w:t>
      </w:r>
    </w:p>
    <w:p>
      <w:pPr>
        <w:rPr>
          <w:spacing w:val="-3"/>
        </w:rPr>
      </w:pPr>
      <w:r>
        <w:rPr>
          <w:spacing w:val="-3"/>
        </w:rPr>
        <w:t>The agreement herein shall not be construed as a contract for the purpose of the Statute of Frauds until such time as it has been signed by the Vendor and the deposit has been paid in full by the Purchaser.</w:t>
      </w:r>
    </w:p>
    <w:p>
      <w:pPr>
        <w:rPr>
          <w:b/>
          <w:szCs w:val="24"/>
          <w:u w:val="single"/>
        </w:rPr>
      </w:pPr>
    </w:p>
    <w:p>
      <w:pPr>
        <w:tabs>
          <w:tab w:val="left" w:pos="993"/>
          <w:tab w:val="left" w:pos="2880"/>
          <w:tab w:val="left" w:pos="7200"/>
        </w:tabs>
        <w:suppressAutoHyphens/>
        <w:jc w:val="both"/>
        <w:rPr>
          <w:b/>
          <w:spacing w:val="-3"/>
          <w:u w:val="single"/>
        </w:rPr>
      </w:pPr>
      <w:r>
        <w:rPr>
          <w:b/>
          <w:spacing w:val="-3"/>
          <w:u w:val="single"/>
        </w:rPr>
        <w:t>Cleared Funds</w:t>
      </w:r>
    </w:p>
    <w:p>
      <w:pPr>
        <w:tabs>
          <w:tab w:val="left" w:pos="993"/>
          <w:tab w:val="left" w:pos="2880"/>
          <w:tab w:val="left" w:pos="7200"/>
        </w:tabs>
        <w:suppressAutoHyphens/>
        <w:jc w:val="both"/>
        <w:rPr>
          <w:spacing w:val="-3"/>
        </w:rPr>
      </w:pPr>
      <w:r>
        <w:rPr>
          <w:spacing w:val="-3"/>
        </w:rPr>
        <w:t>On completion, the Purchaser shall provide to the Vendor’s solicitor cleared funds in respect of the balance of the sale price. The Vendor shall be under no obligation to complete the sale until such time as cleared funds have been provided. In the event that the Purchaser wishes to furnish a bank draft, it must be furnished in good time to facilitate clearance.</w:t>
      </w:r>
    </w:p>
    <w:p/>
    <w:p>
      <w:pPr>
        <w:rPr>
          <w:b/>
          <w:szCs w:val="24"/>
          <w:u w:val="single"/>
        </w:rPr>
      </w:pPr>
      <w:r>
        <w:rPr>
          <w:b/>
          <w:szCs w:val="24"/>
          <w:u w:val="single"/>
        </w:rPr>
        <w:t>Closing to take place at this office</w:t>
      </w:r>
    </w:p>
    <w:p/>
    <w:p>
      <w:pPr>
        <w:rPr>
          <w:szCs w:val="24"/>
        </w:rPr>
      </w:pPr>
      <w:r>
        <w:rPr>
          <w:szCs w:val="24"/>
        </w:rPr>
        <w:t>The closing of the sale shall take place at the offices of [SYS:CON:Name] Solicitors.</w:t>
      </w:r>
    </w:p>
    <w:p>
      <w:pPr>
        <w:rPr>
          <w:szCs w:val="24"/>
        </w:rPr>
      </w:pPr>
    </w:p>
    <w:sectPr>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CB7156"/>
    <w:multiLevelType w:val="hybridMultilevel"/>
    <w:tmpl w:val="F310606A"/>
    <w:lvl w:ilvl="0" w:tplc="1EDAE606">
      <w:start w:val="1"/>
      <w:numFmt w:val="lowerLetter"/>
      <w:lvlText w:val="(%1)"/>
      <w:lvlJc w:val="left"/>
      <w:pPr>
        <w:tabs>
          <w:tab w:val="num" w:pos="363"/>
        </w:tabs>
        <w:ind w:left="363" w:hanging="360"/>
      </w:pPr>
      <w:rPr>
        <w:rFonts w:hint="default"/>
      </w:rPr>
    </w:lvl>
    <w:lvl w:ilvl="1" w:tplc="08090019" w:tentative="1">
      <w:start w:val="1"/>
      <w:numFmt w:val="lowerLetter"/>
      <w:lvlText w:val="%2."/>
      <w:lvlJc w:val="left"/>
      <w:pPr>
        <w:tabs>
          <w:tab w:val="num" w:pos="1083"/>
        </w:tabs>
        <w:ind w:left="1083" w:hanging="360"/>
      </w:pPr>
    </w:lvl>
    <w:lvl w:ilvl="2" w:tplc="0809001B" w:tentative="1">
      <w:start w:val="1"/>
      <w:numFmt w:val="lowerRoman"/>
      <w:lvlText w:val="%3."/>
      <w:lvlJc w:val="right"/>
      <w:pPr>
        <w:tabs>
          <w:tab w:val="num" w:pos="1803"/>
        </w:tabs>
        <w:ind w:left="1803" w:hanging="180"/>
      </w:pPr>
    </w:lvl>
    <w:lvl w:ilvl="3" w:tplc="0809000F" w:tentative="1">
      <w:start w:val="1"/>
      <w:numFmt w:val="decimal"/>
      <w:lvlText w:val="%4."/>
      <w:lvlJc w:val="left"/>
      <w:pPr>
        <w:tabs>
          <w:tab w:val="num" w:pos="2523"/>
        </w:tabs>
        <w:ind w:left="2523" w:hanging="360"/>
      </w:pPr>
    </w:lvl>
    <w:lvl w:ilvl="4" w:tplc="08090019" w:tentative="1">
      <w:start w:val="1"/>
      <w:numFmt w:val="lowerLetter"/>
      <w:lvlText w:val="%5."/>
      <w:lvlJc w:val="left"/>
      <w:pPr>
        <w:tabs>
          <w:tab w:val="num" w:pos="3243"/>
        </w:tabs>
        <w:ind w:left="3243" w:hanging="360"/>
      </w:pPr>
    </w:lvl>
    <w:lvl w:ilvl="5" w:tplc="0809001B" w:tentative="1">
      <w:start w:val="1"/>
      <w:numFmt w:val="lowerRoman"/>
      <w:lvlText w:val="%6."/>
      <w:lvlJc w:val="right"/>
      <w:pPr>
        <w:tabs>
          <w:tab w:val="num" w:pos="3963"/>
        </w:tabs>
        <w:ind w:left="3963" w:hanging="180"/>
      </w:pPr>
    </w:lvl>
    <w:lvl w:ilvl="6" w:tplc="0809000F" w:tentative="1">
      <w:start w:val="1"/>
      <w:numFmt w:val="decimal"/>
      <w:lvlText w:val="%7."/>
      <w:lvlJc w:val="left"/>
      <w:pPr>
        <w:tabs>
          <w:tab w:val="num" w:pos="4683"/>
        </w:tabs>
        <w:ind w:left="4683" w:hanging="360"/>
      </w:pPr>
    </w:lvl>
    <w:lvl w:ilvl="7" w:tplc="08090019" w:tentative="1">
      <w:start w:val="1"/>
      <w:numFmt w:val="lowerLetter"/>
      <w:lvlText w:val="%8."/>
      <w:lvlJc w:val="left"/>
      <w:pPr>
        <w:tabs>
          <w:tab w:val="num" w:pos="5403"/>
        </w:tabs>
        <w:ind w:left="5403" w:hanging="360"/>
      </w:pPr>
    </w:lvl>
    <w:lvl w:ilvl="8" w:tplc="0809001B" w:tentative="1">
      <w:start w:val="1"/>
      <w:numFmt w:val="lowerRoman"/>
      <w:lvlText w:val="%9."/>
      <w:lvlJc w:val="right"/>
      <w:pPr>
        <w:tabs>
          <w:tab w:val="num" w:pos="6123"/>
        </w:tabs>
        <w:ind w:left="6123" w:hanging="180"/>
      </w:pPr>
    </w:lvl>
  </w:abstractNum>
  <w:abstractNum w:abstractNumId="1" w15:restartNumberingAfterBreak="0">
    <w:nsid w:val="41A06965"/>
    <w:multiLevelType w:val="hybridMultilevel"/>
    <w:tmpl w:val="A888F3E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EA387A"/>
    <w:multiLevelType w:val="hybridMultilevel"/>
    <w:tmpl w:val="F744B22E"/>
    <w:lvl w:ilvl="0" w:tplc="B8004D5A">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3" w15:restartNumberingAfterBreak="0">
    <w:nsid w:val="49F8027A"/>
    <w:multiLevelType w:val="hybridMultilevel"/>
    <w:tmpl w:val="8556C1F8"/>
    <w:lvl w:ilvl="0" w:tplc="07465D94">
      <w:start w:val="1"/>
      <w:numFmt w:val="lowerLetter"/>
      <w:lvlText w:val="(%1)"/>
      <w:lvlJc w:val="left"/>
      <w:pPr>
        <w:tabs>
          <w:tab w:val="num" w:pos="1368"/>
        </w:tabs>
        <w:ind w:left="1368" w:hanging="360"/>
      </w:pPr>
      <w:rPr>
        <w:rFonts w:hint="default"/>
      </w:r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4" w15:restartNumberingAfterBreak="0">
    <w:nsid w:val="52484835"/>
    <w:multiLevelType w:val="hybridMultilevel"/>
    <w:tmpl w:val="1ADE0E9E"/>
    <w:lvl w:ilvl="0" w:tplc="40764ED8">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5" w15:restartNumberingAfterBreak="0">
    <w:nsid w:val="5CD77469"/>
    <w:multiLevelType w:val="hybridMultilevel"/>
    <w:tmpl w:val="2620225A"/>
    <w:lvl w:ilvl="0" w:tplc="43044F8C">
      <w:start w:val="2"/>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6" w15:restartNumberingAfterBreak="0">
    <w:nsid w:val="5E2A475E"/>
    <w:multiLevelType w:val="hybridMultilevel"/>
    <w:tmpl w:val="BA024DFE"/>
    <w:lvl w:ilvl="0" w:tplc="8AF21096">
      <w:start w:val="2"/>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7" w15:restartNumberingAfterBreak="0">
    <w:nsid w:val="6F1011EE"/>
    <w:multiLevelType w:val="hybridMultilevel"/>
    <w:tmpl w:val="30466738"/>
    <w:lvl w:ilvl="0" w:tplc="6E2E50DA">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CE40F24"/>
    <w:multiLevelType w:val="hybridMultilevel"/>
    <w:tmpl w:val="524CB332"/>
    <w:lvl w:ilvl="0" w:tplc="42D200C2">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num w:numId="1">
    <w:abstractNumId w:val="6"/>
  </w:num>
  <w:num w:numId="2">
    <w:abstractNumId w:val="4"/>
  </w:num>
  <w:num w:numId="3">
    <w:abstractNumId w:val="2"/>
  </w:num>
  <w:num w:numId="4">
    <w:abstractNumId w:val="7"/>
  </w:num>
  <w:num w:numId="5">
    <w:abstractNumId w:val="5"/>
  </w:num>
  <w:num w:numId="6">
    <w:abstractNumId w:val="3"/>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1405D57-0E21-4852-9AB7-C5A38536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0"/>
        <w:tab w:val="left" w:pos="1008"/>
        <w:tab w:val="left" w:pos="2880"/>
        <w:tab w:val="left" w:pos="7200"/>
      </w:tabs>
      <w:suppressAutoHyphens/>
      <w:ind w:left="1008" w:hanging="1008"/>
      <w:jc w:val="both"/>
      <w:outlineLvl w:val="0"/>
    </w:pPr>
    <w:rPr>
      <w:b/>
      <w:bCs/>
      <w:spacing w:val="-3"/>
      <w:u w:val="single"/>
    </w:rPr>
  </w:style>
  <w:style w:type="paragraph" w:styleId="Heading3">
    <w:name w:val="heading 3"/>
    <w:basedOn w:val="Normal"/>
    <w:next w:val="Normal"/>
    <w:qFormat/>
    <w:pPr>
      <w:keepNext/>
      <w:tabs>
        <w:tab w:val="left" w:pos="0"/>
        <w:tab w:val="left" w:pos="1008"/>
        <w:tab w:val="left" w:pos="2880"/>
        <w:tab w:val="left" w:pos="7200"/>
      </w:tabs>
      <w:suppressAutoHyphens/>
      <w:ind w:left="1008" w:hanging="1008"/>
      <w:jc w:val="both"/>
      <w:outlineLvl w:val="2"/>
    </w:pPr>
    <w:rPr>
      <w:spacing w:val="-3"/>
      <w:u w:val="single"/>
    </w:rPr>
  </w:style>
  <w:style w:type="paragraph" w:styleId="Heading4">
    <w:name w:val="heading 4"/>
    <w:basedOn w:val="Normal"/>
    <w:next w:val="Normal"/>
    <w:qFormat/>
    <w:pPr>
      <w:keepNext/>
      <w:tabs>
        <w:tab w:val="left" w:pos="0"/>
        <w:tab w:val="left" w:pos="1008"/>
        <w:tab w:val="left" w:pos="2880"/>
        <w:tab w:val="left" w:pos="7200"/>
      </w:tabs>
      <w:suppressAutoHyphens/>
      <w:jc w:val="both"/>
      <w:outlineLvl w:val="3"/>
    </w:pPr>
    <w:rPr>
      <w:spacing w:val="-3"/>
      <w:u w:val="single"/>
    </w:rPr>
  </w:style>
  <w:style w:type="paragraph" w:styleId="Heading5">
    <w:name w:val="heading 5"/>
    <w:basedOn w:val="Normal"/>
    <w:next w:val="Normal"/>
    <w:qFormat/>
    <w:pPr>
      <w:keepNext/>
      <w:outlineLvl w:val="4"/>
    </w:pPr>
    <w:rPr>
      <w:b/>
      <w:szCs w:val="2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2">
    <w:name w:val="Body Text Indent 2"/>
    <w:basedOn w:val="Normal"/>
    <w:pPr>
      <w:tabs>
        <w:tab w:val="left" w:pos="0"/>
        <w:tab w:val="left" w:pos="1008"/>
        <w:tab w:val="left" w:pos="2880"/>
        <w:tab w:val="left" w:pos="7200"/>
      </w:tabs>
      <w:suppressAutoHyphens/>
      <w:snapToGrid w:val="0"/>
      <w:ind w:left="1008" w:hanging="1008"/>
      <w:jc w:val="both"/>
    </w:pPr>
    <w:rPr>
      <w:b/>
      <w:bCs/>
      <w:snapToGrid/>
      <w:spacing w:val="-3"/>
    </w:rPr>
  </w:style>
  <w:style w:type="paragraph" w:styleId="Footer">
    <w:name w:val="footer"/>
    <w:basedOn w:val="Normal"/>
    <w:pPr>
      <w:tabs>
        <w:tab w:val="center" w:pos="4153"/>
        <w:tab w:val="right" w:pos="8306"/>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 P E C I A L  C O N D I T I O N S  F O R   C O N T R A C T S   F O R   S A L E</vt:lpstr>
    </vt:vector>
  </TitlesOfParts>
  <Company>Callan &amp; Co</Company>
  <LinksUpToDate>false</LinksUpToDate>
  <CharactersWithSpaces>5245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E C I A L  C O N D I T I O N S  F O R   C O N T R A C T S   F O R   S A L E</dc:title>
  <dc:subject/>
  <dc:creator>Carol</dc:creator>
  <cp:keywords/>
  <dc:description/>
  <cp:lastModifiedBy>Art Kavanagh</cp:lastModifiedBy>
  <cp:revision>2</cp:revision>
  <dcterms:created xsi:type="dcterms:W3CDTF">2019-03-04T11:00:00Z</dcterms:created>
  <dcterms:modified xsi:type="dcterms:W3CDTF">2019-03-04T11:00:00Z</dcterms:modified>
</cp:coreProperties>
</file>